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7C28" w14:textId="7F4F1638" w:rsidR="001D619C" w:rsidRPr="001D619C" w:rsidRDefault="009052BE" w:rsidP="001D61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Index of 202</w:t>
      </w:r>
      <w:r w:rsidR="00D62481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Resolutions</w:t>
      </w:r>
      <w:r w:rsidR="00D62481">
        <w:rPr>
          <w:b/>
          <w:bCs/>
          <w:sz w:val="32"/>
          <w:szCs w:val="32"/>
        </w:rPr>
        <w:t xml:space="preserve"> </w:t>
      </w:r>
      <w:r w:rsidR="001D619C">
        <w:rPr>
          <w:b/>
          <w:bCs/>
          <w:sz w:val="32"/>
          <w:szCs w:val="32"/>
        </w:rPr>
        <w:t xml:space="preserve">for the </w:t>
      </w:r>
      <w:r w:rsidR="001D619C" w:rsidRPr="001D619C">
        <w:rPr>
          <w:b/>
          <w:bCs/>
          <w:sz w:val="32"/>
          <w:szCs w:val="32"/>
        </w:rPr>
        <w:t>Annual Business Meeting</w:t>
      </w:r>
    </w:p>
    <w:p w14:paraId="6CBC628C" w14:textId="18146C11" w:rsidR="00480E1D" w:rsidRDefault="001D619C" w:rsidP="001D6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12, 2021</w:t>
      </w:r>
    </w:p>
    <w:p w14:paraId="6C05A412" w14:textId="77777777" w:rsidR="001D619C" w:rsidRDefault="001D619C" w:rsidP="001D619C">
      <w:pPr>
        <w:rPr>
          <w:sz w:val="24"/>
          <w:szCs w:val="24"/>
        </w:rPr>
      </w:pPr>
    </w:p>
    <w:p w14:paraId="62827641" w14:textId="7B7C563F" w:rsidR="001D619C" w:rsidRPr="001D619C" w:rsidRDefault="001D619C" w:rsidP="001D619C">
      <w:pPr>
        <w:rPr>
          <w:sz w:val="24"/>
          <w:szCs w:val="24"/>
        </w:rPr>
      </w:pPr>
      <w:r w:rsidRPr="001D619C">
        <w:rPr>
          <w:sz w:val="24"/>
          <w:szCs w:val="24"/>
        </w:rPr>
        <w:t>Authorized representatives for each NWPPA member will vote to approve this slate of resolutions</w:t>
      </w:r>
      <w:r>
        <w:rPr>
          <w:sz w:val="24"/>
          <w:szCs w:val="24"/>
        </w:rPr>
        <w:t xml:space="preserve"> at the Annual business Meeting on May 12, 2021</w:t>
      </w:r>
      <w:r w:rsidRPr="001D619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Each NWPPA member is allowed one authorized representative.  </w:t>
      </w:r>
      <w:r w:rsidRPr="001D619C">
        <w:rPr>
          <w:sz w:val="24"/>
          <w:szCs w:val="24"/>
        </w:rPr>
        <w:t xml:space="preserve">This slate of resolutions was developed through a member-driven process, refined by the Resolutions Committee, and approved by the Government Relations Committee and the Board of Trustees.  </w:t>
      </w:r>
    </w:p>
    <w:p w14:paraId="0F7CEB92" w14:textId="77777777" w:rsidR="00480E1D" w:rsidRDefault="00480E1D" w:rsidP="00480E1D">
      <w:pPr>
        <w:rPr>
          <w:b/>
          <w:bCs/>
          <w:sz w:val="24"/>
          <w:szCs w:val="24"/>
        </w:rPr>
      </w:pPr>
    </w:p>
    <w:p w14:paraId="6FFAC8BB" w14:textId="121D7778" w:rsidR="00480E1D" w:rsidRPr="006A5406" w:rsidRDefault="00480E1D" w:rsidP="00480E1D">
      <w:pPr>
        <w:rPr>
          <w:b/>
          <w:bCs/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-01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 xml:space="preserve">Energy Efficiency </w:t>
      </w:r>
    </w:p>
    <w:p w14:paraId="02F397F6" w14:textId="77777777" w:rsidR="00480E1D" w:rsidRPr="006A5406" w:rsidRDefault="00480E1D" w:rsidP="00480E1D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-02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In Support of All Hydropower as a Renewable Resource</w:t>
      </w:r>
    </w:p>
    <w:p w14:paraId="56196CBE" w14:textId="77777777" w:rsidR="00480E1D" w:rsidRPr="006A5406" w:rsidRDefault="00480E1D" w:rsidP="00480E1D">
      <w:pPr>
        <w:rPr>
          <w:b/>
          <w:bCs/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-03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Protecting the Bulk Electric System from Cyber and Physical Attacks</w:t>
      </w:r>
    </w:p>
    <w:p w14:paraId="7604B224" w14:textId="074FD858" w:rsidR="00C85270" w:rsidRPr="006A5406" w:rsidRDefault="00C85270" w:rsidP="00C85270">
      <w:pPr>
        <w:rPr>
          <w:b/>
          <w:bCs/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 w:rsidR="00B64CD5"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-04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Reliability Standards and Defining Resiliency</w:t>
      </w:r>
    </w:p>
    <w:p w14:paraId="3885DE6F" w14:textId="21E76708" w:rsidR="00C85270" w:rsidRPr="006A5406" w:rsidRDefault="00C85270" w:rsidP="00C85270">
      <w:pPr>
        <w:ind w:left="1440" w:hanging="1440"/>
        <w:rPr>
          <w:b/>
          <w:bCs/>
          <w:sz w:val="24"/>
          <w:szCs w:val="24"/>
          <w:lang w:val="en"/>
        </w:rPr>
      </w:pPr>
      <w:r w:rsidRPr="006A5406">
        <w:rPr>
          <w:b/>
          <w:bCs/>
          <w:sz w:val="24"/>
          <w:szCs w:val="24"/>
        </w:rPr>
        <w:t>202</w:t>
      </w:r>
      <w:r w:rsidR="00B64CD5"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-05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  <w:lang w:val="en"/>
        </w:rPr>
        <w:t>In Support of Local Decision-Making for Regional Energy Policy Development</w:t>
      </w:r>
    </w:p>
    <w:p w14:paraId="02B315CE" w14:textId="4E600A44" w:rsidR="00C85270" w:rsidRPr="006A5406" w:rsidRDefault="00C85270" w:rsidP="00C85270">
      <w:pPr>
        <w:ind w:left="1440" w:hanging="1440"/>
        <w:rPr>
          <w:b/>
          <w:bCs/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 w:rsidR="00B64CD5"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-06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Opposition to the Changing Role and Rates of the Power Marketing Administrations</w:t>
      </w:r>
    </w:p>
    <w:p w14:paraId="2496D733" w14:textId="77777777" w:rsidR="00480E1D" w:rsidRPr="006A5406" w:rsidRDefault="00480E1D" w:rsidP="00480E1D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-07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Principles for Greenhouse Gas Reduction from the Electric Sector</w:t>
      </w:r>
    </w:p>
    <w:p w14:paraId="679253F2" w14:textId="3F1A1FBB" w:rsidR="00C85270" w:rsidRDefault="00480E1D" w:rsidP="00C85270">
      <w:pPr>
        <w:ind w:left="1440" w:hanging="1440"/>
        <w:rPr>
          <w:sz w:val="24"/>
          <w:szCs w:val="24"/>
          <w:lang w:val="en"/>
        </w:rPr>
      </w:pPr>
      <w:r>
        <w:rPr>
          <w:b/>
          <w:bCs/>
          <w:sz w:val="24"/>
          <w:szCs w:val="24"/>
        </w:rPr>
        <w:t>2021-08</w:t>
      </w:r>
      <w:r>
        <w:rPr>
          <w:b/>
          <w:bCs/>
          <w:sz w:val="24"/>
          <w:szCs w:val="24"/>
        </w:rPr>
        <w:tab/>
      </w:r>
      <w:r w:rsidRPr="00480E1D">
        <w:rPr>
          <w:sz w:val="24"/>
          <w:szCs w:val="24"/>
        </w:rPr>
        <w:t>Utility Financing</w:t>
      </w:r>
      <w:r>
        <w:rPr>
          <w:sz w:val="24"/>
          <w:szCs w:val="24"/>
        </w:rPr>
        <w:t xml:space="preserve"> </w:t>
      </w:r>
    </w:p>
    <w:p w14:paraId="6D23B813" w14:textId="77777777" w:rsidR="00480E1D" w:rsidRPr="006A5406" w:rsidRDefault="00480E1D" w:rsidP="00480E1D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-09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Safeguarding Local Control – FCC &amp; Pole Attachments</w:t>
      </w:r>
    </w:p>
    <w:p w14:paraId="0E59A0D9" w14:textId="57210A12" w:rsidR="00480E1D" w:rsidRPr="006A5406" w:rsidRDefault="00480E1D" w:rsidP="00480E1D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-10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 xml:space="preserve">In Support of </w:t>
      </w:r>
      <w:r w:rsidR="0021430F">
        <w:rPr>
          <w:sz w:val="24"/>
          <w:szCs w:val="24"/>
        </w:rPr>
        <w:t xml:space="preserve">Advanced and </w:t>
      </w:r>
      <w:r w:rsidRPr="006A5406">
        <w:rPr>
          <w:sz w:val="24"/>
          <w:szCs w:val="24"/>
        </w:rPr>
        <w:t>Small Modular Reactors</w:t>
      </w:r>
    </w:p>
    <w:p w14:paraId="2D4BDE48" w14:textId="77777777" w:rsidR="00480E1D" w:rsidRDefault="00480E1D" w:rsidP="00157424">
      <w:pPr>
        <w:ind w:left="1440" w:hanging="1440"/>
        <w:rPr>
          <w:b/>
          <w:bCs/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-11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  <w:lang w:val="en"/>
        </w:rPr>
        <w:t>Urging Consideration of the Economic Impacts of ESA</w:t>
      </w:r>
      <w:r w:rsidRPr="006A5406">
        <w:rPr>
          <w:b/>
          <w:bCs/>
          <w:sz w:val="24"/>
          <w:szCs w:val="24"/>
        </w:rPr>
        <w:t xml:space="preserve"> </w:t>
      </w:r>
    </w:p>
    <w:p w14:paraId="7D62E7DB" w14:textId="18FFEDA0" w:rsidR="00157424" w:rsidRPr="006A5406" w:rsidRDefault="00157424" w:rsidP="00157424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 w:rsidR="00B64CD5"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-12</w:t>
      </w:r>
      <w:r w:rsidRPr="006A5406">
        <w:rPr>
          <w:b/>
          <w:bCs/>
          <w:sz w:val="24"/>
          <w:szCs w:val="24"/>
        </w:rPr>
        <w:tab/>
      </w:r>
      <w:r w:rsidRPr="006A5406">
        <w:rPr>
          <w:sz w:val="24"/>
          <w:szCs w:val="24"/>
        </w:rPr>
        <w:t>In Support of Improved Efforts, by Utilities and the Federal Government, to Respond to Natural Disasters (Mutual Aid)</w:t>
      </w:r>
    </w:p>
    <w:p w14:paraId="4AADBA22" w14:textId="539856BA" w:rsidR="00480E1D" w:rsidRDefault="00480E1D" w:rsidP="0081218A">
      <w:pPr>
        <w:ind w:left="1440" w:hanging="1440"/>
        <w:rPr>
          <w:b/>
          <w:bCs/>
          <w:sz w:val="24"/>
          <w:szCs w:val="24"/>
        </w:rPr>
      </w:pPr>
      <w:r w:rsidRPr="006A5406">
        <w:rPr>
          <w:b/>
          <w:bCs/>
          <w:sz w:val="24"/>
          <w:szCs w:val="24"/>
        </w:rPr>
        <w:t>2020-13</w:t>
      </w:r>
      <w:r w:rsidRPr="00480E1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7074D">
        <w:rPr>
          <w:sz w:val="24"/>
          <w:szCs w:val="24"/>
        </w:rPr>
        <w:t>Ensuring Adequate Federal Funds to Combat and Prevent Catastrophic Wildfires</w:t>
      </w:r>
    </w:p>
    <w:p w14:paraId="614008AA" w14:textId="31854D61" w:rsidR="00480E1D" w:rsidRDefault="00480E1D" w:rsidP="00480E1D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2021-14</w:t>
      </w:r>
      <w:r>
        <w:rPr>
          <w:b/>
          <w:bCs/>
          <w:sz w:val="24"/>
          <w:szCs w:val="24"/>
        </w:rPr>
        <w:tab/>
      </w:r>
      <w:r w:rsidR="0047074D">
        <w:rPr>
          <w:sz w:val="24"/>
          <w:szCs w:val="24"/>
        </w:rPr>
        <w:t>Vegetation Management and Fire Prevention on Rights of Way</w:t>
      </w:r>
    </w:p>
    <w:p w14:paraId="709953B9" w14:textId="740F3827" w:rsidR="00480E1D" w:rsidRDefault="00480E1D" w:rsidP="00480E1D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2021-15</w:t>
      </w:r>
      <w:r>
        <w:rPr>
          <w:b/>
          <w:bCs/>
          <w:sz w:val="24"/>
          <w:szCs w:val="24"/>
        </w:rPr>
        <w:tab/>
      </w:r>
      <w:r w:rsidR="0047074D" w:rsidRPr="00445760">
        <w:rPr>
          <w:sz w:val="24"/>
          <w:szCs w:val="24"/>
        </w:rPr>
        <w:t>Public Power Support of Electric Vehicle Polices</w:t>
      </w:r>
    </w:p>
    <w:p w14:paraId="452DC49C" w14:textId="18E75AB5" w:rsidR="00480E1D" w:rsidRDefault="00480E1D" w:rsidP="00480E1D">
      <w:pPr>
        <w:ind w:left="1440" w:hanging="1440"/>
        <w:rPr>
          <w:sz w:val="24"/>
          <w:szCs w:val="24"/>
        </w:rPr>
      </w:pPr>
      <w:r w:rsidRPr="0044576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 w:rsidRPr="00445760">
        <w:rPr>
          <w:b/>
          <w:bCs/>
          <w:sz w:val="24"/>
          <w:szCs w:val="24"/>
        </w:rPr>
        <w:t>-1</w:t>
      </w:r>
      <w:r>
        <w:rPr>
          <w:b/>
          <w:bCs/>
          <w:sz w:val="24"/>
          <w:szCs w:val="24"/>
        </w:rPr>
        <w:t>6</w:t>
      </w:r>
      <w:r w:rsidRPr="00B0323D">
        <w:rPr>
          <w:b/>
          <w:bCs/>
          <w:i/>
          <w:iCs/>
          <w:sz w:val="24"/>
          <w:szCs w:val="24"/>
        </w:rPr>
        <w:tab/>
      </w:r>
      <w:r w:rsidR="0047074D" w:rsidRPr="006A5406">
        <w:rPr>
          <w:sz w:val="24"/>
          <w:szCs w:val="24"/>
        </w:rPr>
        <w:t>In Support of Rural Broadband Deployment and Use</w:t>
      </w:r>
    </w:p>
    <w:p w14:paraId="788D3BB7" w14:textId="66905A14" w:rsidR="0047074D" w:rsidRPr="0081218A" w:rsidRDefault="00C85270" w:rsidP="0047074D">
      <w:pPr>
        <w:ind w:left="1440" w:hanging="1440"/>
        <w:rPr>
          <w:sz w:val="24"/>
          <w:szCs w:val="24"/>
        </w:rPr>
      </w:pPr>
      <w:r w:rsidRPr="006A5406">
        <w:rPr>
          <w:b/>
          <w:bCs/>
          <w:sz w:val="24"/>
          <w:szCs w:val="24"/>
        </w:rPr>
        <w:t>202</w:t>
      </w:r>
      <w:r w:rsidR="00B64CD5">
        <w:rPr>
          <w:b/>
          <w:bCs/>
          <w:sz w:val="24"/>
          <w:szCs w:val="24"/>
        </w:rPr>
        <w:t>1</w:t>
      </w:r>
      <w:r w:rsidRPr="006A5406">
        <w:rPr>
          <w:b/>
          <w:bCs/>
          <w:sz w:val="24"/>
          <w:szCs w:val="24"/>
        </w:rPr>
        <w:t>-1</w:t>
      </w:r>
      <w:r w:rsidR="00480E1D">
        <w:rPr>
          <w:b/>
          <w:bCs/>
          <w:sz w:val="24"/>
          <w:szCs w:val="24"/>
        </w:rPr>
        <w:t>7</w:t>
      </w:r>
      <w:r w:rsidRPr="006A5406">
        <w:rPr>
          <w:b/>
          <w:bCs/>
          <w:sz w:val="24"/>
          <w:szCs w:val="24"/>
        </w:rPr>
        <w:tab/>
      </w:r>
      <w:r w:rsidR="0047074D" w:rsidRPr="00157424">
        <w:rPr>
          <w:sz w:val="24"/>
          <w:szCs w:val="24"/>
        </w:rPr>
        <w:t>Response to Impact of COVID-19</w:t>
      </w:r>
    </w:p>
    <w:p w14:paraId="336BBA02" w14:textId="5DCCDBEC" w:rsidR="009052BE" w:rsidRPr="0081218A" w:rsidRDefault="009052BE" w:rsidP="003850B4">
      <w:pPr>
        <w:rPr>
          <w:sz w:val="24"/>
          <w:szCs w:val="24"/>
        </w:rPr>
      </w:pPr>
    </w:p>
    <w:sectPr w:rsidR="009052BE" w:rsidRPr="0081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A6933"/>
    <w:multiLevelType w:val="multilevel"/>
    <w:tmpl w:val="144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BE"/>
    <w:rsid w:val="00025FA2"/>
    <w:rsid w:val="00157424"/>
    <w:rsid w:val="001D619C"/>
    <w:rsid w:val="0021430F"/>
    <w:rsid w:val="002F0510"/>
    <w:rsid w:val="003850B4"/>
    <w:rsid w:val="00445760"/>
    <w:rsid w:val="00461861"/>
    <w:rsid w:val="0047074D"/>
    <w:rsid w:val="00480E1D"/>
    <w:rsid w:val="004815A1"/>
    <w:rsid w:val="005A64F1"/>
    <w:rsid w:val="00606621"/>
    <w:rsid w:val="0062038C"/>
    <w:rsid w:val="006A5406"/>
    <w:rsid w:val="006F3C43"/>
    <w:rsid w:val="007676AD"/>
    <w:rsid w:val="0081218A"/>
    <w:rsid w:val="008A361C"/>
    <w:rsid w:val="009052BE"/>
    <w:rsid w:val="00B0323D"/>
    <w:rsid w:val="00B64CD5"/>
    <w:rsid w:val="00B77583"/>
    <w:rsid w:val="00C62CE0"/>
    <w:rsid w:val="00C85270"/>
    <w:rsid w:val="00D0092E"/>
    <w:rsid w:val="00D502C1"/>
    <w:rsid w:val="00D62481"/>
    <w:rsid w:val="00E00274"/>
    <w:rsid w:val="00EA7DAF"/>
    <w:rsid w:val="00F24A0C"/>
    <w:rsid w:val="00F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5926"/>
  <w15:chartTrackingRefBased/>
  <w15:docId w15:val="{89BF82FA-2126-4940-B638-411C58CB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5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Case</dc:creator>
  <cp:keywords/>
  <dc:description/>
  <cp:lastModifiedBy>Nicole Case</cp:lastModifiedBy>
  <cp:revision>2</cp:revision>
  <cp:lastPrinted>2021-04-29T15:37:00Z</cp:lastPrinted>
  <dcterms:created xsi:type="dcterms:W3CDTF">2021-05-04T21:34:00Z</dcterms:created>
  <dcterms:modified xsi:type="dcterms:W3CDTF">2021-05-04T21:34:00Z</dcterms:modified>
</cp:coreProperties>
</file>